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63EE" w14:textId="77777777" w:rsidR="00F932F1" w:rsidRDefault="00F932F1" w:rsidP="00F932F1">
      <w:pPr>
        <w:spacing w:after="960" w:line="938" w:lineRule="atLeast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lang w:eastAsia="de-DE"/>
        </w:rPr>
      </w:pPr>
      <w:r w:rsidRPr="00F932F1"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lang w:eastAsia="de-DE"/>
        </w:rPr>
        <w:t>KONVENTIONELLE UND BIOLOGISCHE PESTIZIDE IM VERGLEICH</w:t>
      </w:r>
    </w:p>
    <w:p w14:paraId="44762A42" w14:textId="1982C4AA" w:rsidR="00F932F1" w:rsidRPr="00F932F1" w:rsidRDefault="00F932F1" w:rsidP="00F932F1">
      <w:pPr>
        <w:spacing w:after="960" w:line="938" w:lineRule="atLeast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Die </w:t>
      </w:r>
      <w:proofErr w:type="spellStart"/>
      <w:proofErr w:type="gramStart"/>
      <w:r w:rsidRPr="00F932F1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Befürworter:innen</w:t>
      </w:r>
      <w:proofErr w:type="spellEnd"/>
      <w:proofErr w:type="gramEnd"/>
      <w:r w:rsidRPr="00F932F1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 der industriellen Landwirtschaft behaupten, Bio-Bäuerinnen und -Bauern würden Gifte sprühen – und das nicht zu knapp. Ob Chemie oder Naturstoff spiele keine Rolle. Damit beschädigen sie den Ruf der Bio-Landwirtschaft. Zeit für einen Faktencheck!</w:t>
      </w:r>
    </w:p>
    <w:p w14:paraId="043FF10F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Die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negativen Auswirkungen des massenhaften Einsatzes von Pestiziden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auf die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biologische Vielfalt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,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das Klima 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und die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Gesundheit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nehmen stetig zu. Um diesen Herausforderungen gerecht zu werden, hat die EU-Kommission im Mai 2020 im Rahmen des European Green Deal die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 xml:space="preserve">Farm </w:t>
      </w:r>
      <w:proofErr w:type="spellStart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to</w:t>
      </w:r>
      <w:proofErr w:type="spellEnd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 xml:space="preserve"> Fork-Strategie 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vorgestellt.</w:t>
      </w:r>
    </w:p>
    <w:p w14:paraId="240F8014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Damit soll der Übergang zu einem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fairen, widerstandsfähigen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und artenfreundlichen Landwirtschafts- und Lebensmittelsystem in Europa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eingeleitet werden. Zu den wichtigsten Maßnahmen gehören:</w:t>
      </w:r>
    </w:p>
    <w:p w14:paraId="01B13884" w14:textId="77777777" w:rsidR="00F932F1" w:rsidRPr="00F932F1" w:rsidRDefault="00F932F1" w:rsidP="00F932F1">
      <w:pPr>
        <w:numPr>
          <w:ilvl w:val="0"/>
          <w:numId w:val="1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Schutz sensibler Gebiete vor negativen Pestizidwirkungen</w:t>
      </w:r>
    </w:p>
    <w:p w14:paraId="06D1CABE" w14:textId="77777777" w:rsidR="00F932F1" w:rsidRPr="00F932F1" w:rsidRDefault="00F932F1" w:rsidP="00F932F1">
      <w:pPr>
        <w:numPr>
          <w:ilvl w:val="0"/>
          <w:numId w:val="1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Halbierung des Einsatzes und der Risiken von Pestiziden</w:t>
      </w:r>
    </w:p>
    <w:p w14:paraId="395B83A3" w14:textId="77777777" w:rsidR="00F932F1" w:rsidRPr="00F932F1" w:rsidRDefault="00F932F1" w:rsidP="00F932F1">
      <w:pPr>
        <w:numPr>
          <w:ilvl w:val="0"/>
          <w:numId w:val="1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lastRenderedPageBreak/>
        <w:t>Ausweitung der Bio-Landwirtschaft auf 25 % der landwirtschaftlichen Nutzfläche bis 2030</w:t>
      </w:r>
    </w:p>
    <w:p w14:paraId="06D5DFEC" w14:textId="77777777" w:rsidR="00F932F1" w:rsidRPr="00F932F1" w:rsidRDefault="00F932F1" w:rsidP="00F932F1">
      <w:pPr>
        <w:spacing w:after="480" w:line="469" w:lineRule="atLeast"/>
        <w:outlineLvl w:val="2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de-DE"/>
        </w:rPr>
      </w:pPr>
      <w:r w:rsidRPr="00F932F1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de-DE"/>
        </w:rPr>
        <w:t>PESTIZIDE IM VERGLEICH</w:t>
      </w:r>
    </w:p>
    <w:p w14:paraId="55FC1183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proofErr w:type="spellStart"/>
      <w:proofErr w:type="gramStart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Befürworter:innen</w:t>
      </w:r>
      <w:proofErr w:type="spellEnd"/>
      <w:proofErr w:type="gramEnd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 xml:space="preserve"> der industriellen Landwirtschaft sind der Meinung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, dass die biologische Landwirtschaft nicht das sei, was sie vorgibt zu sein. Dabei argumentieren sie vor allem mit zwei Behauptungen:</w:t>
      </w:r>
    </w:p>
    <w:p w14:paraId="4238B1F2" w14:textId="77777777" w:rsidR="00F932F1" w:rsidRPr="00F932F1" w:rsidRDefault="00F932F1" w:rsidP="00F932F1">
      <w:pPr>
        <w:numPr>
          <w:ilvl w:val="0"/>
          <w:numId w:val="2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Bio-Bäuerinnen und -Bauern verwenden Pestizide, und zwar ähnlich häufig wie konventionelle.</w:t>
      </w:r>
    </w:p>
    <w:p w14:paraId="140F6536" w14:textId="77777777" w:rsidR="00F932F1" w:rsidRPr="00F932F1" w:rsidRDefault="00F932F1" w:rsidP="00F932F1">
      <w:pPr>
        <w:numPr>
          <w:ilvl w:val="0"/>
          <w:numId w:val="2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Bio-konforme, natürliche Pestizid-Wirkstoffe sind ähnlich giftig wie synthetische.</w:t>
      </w:r>
    </w:p>
    <w:p w14:paraId="2DAA895B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Gemeinsam mit Prof. Dr. Johann </w:t>
      </w:r>
      <w:proofErr w:type="spellStart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Zaller</w:t>
      </w:r>
      <w:proofErr w:type="spellEnd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von der BOKU (Universität für Bodenkultur) haben wir im Auftrag von IFOAM </w:t>
      </w:r>
      <w:proofErr w:type="spellStart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Organics</w:t>
      </w:r>
      <w:proofErr w:type="spellEnd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Europe, dem Europäischen Dachverband der Bio-Landwirtschaft, die Behauptungen einem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Faktencheck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unterzogen. Dabei wurde auch ein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systematisch toxikologischer Vergleich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durchgeführt.</w:t>
      </w:r>
    </w:p>
    <w:p w14:paraId="02643F81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Getestet wurden:</w:t>
      </w:r>
    </w:p>
    <w:p w14:paraId="5AE4EA5D" w14:textId="77777777" w:rsidR="00F932F1" w:rsidRPr="00F932F1" w:rsidRDefault="00F932F1" w:rsidP="00F932F1">
      <w:pPr>
        <w:numPr>
          <w:ilvl w:val="0"/>
          <w:numId w:val="3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256 Pestizide, die in der konventionellen Landwirtschaft zugelassen sind</w:t>
      </w:r>
    </w:p>
    <w:p w14:paraId="1AFFDBF7" w14:textId="77777777" w:rsidR="00F932F1" w:rsidRPr="00F932F1" w:rsidRDefault="00F932F1" w:rsidP="00F932F1">
      <w:pPr>
        <w:numPr>
          <w:ilvl w:val="0"/>
          <w:numId w:val="3"/>
        </w:numPr>
        <w:spacing w:before="100" w:beforeAutospacing="1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134 Pestizide, die auch in der biologischen Landwirtschaft erlaubt sind</w:t>
      </w:r>
    </w:p>
    <w:p w14:paraId="64A6459B" w14:textId="77777777" w:rsidR="00F932F1" w:rsidRPr="00F932F1" w:rsidRDefault="00F932F1" w:rsidP="00F932F1">
      <w:pPr>
        <w:spacing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  <w:hyperlink r:id="rId5" w:tgtFrame="_blank" w:history="1">
        <w:r w:rsidRPr="00F932F1">
          <w:rPr>
            <w:rFonts w:ascii="Arial" w:eastAsia="Times New Roman" w:hAnsi="Arial" w:cs="Arial"/>
            <w:b/>
            <w:bCs/>
            <w:color w:val="FFFFFF"/>
            <w:sz w:val="27"/>
            <w:szCs w:val="27"/>
            <w:u w:val="single"/>
            <w:bdr w:val="none" w:sz="0" w:space="0" w:color="auto" w:frame="1"/>
            <w:lang w:eastAsia="de-DE"/>
          </w:rPr>
          <w:t>Jetzt Studie downloaden </w:t>
        </w:r>
      </w:hyperlink>
    </w:p>
    <w:p w14:paraId="59C931F6" w14:textId="77777777" w:rsidR="00F932F1" w:rsidRPr="00F932F1" w:rsidRDefault="00F932F1" w:rsidP="00F932F1">
      <w:pPr>
        <w:spacing w:line="563" w:lineRule="atLeast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48"/>
          <w:szCs w:val="48"/>
          <w:lang w:eastAsia="de-DE"/>
        </w:rPr>
        <w:t>Sind konventionelle und biologische Pestizide ähnlich giftig?</w:t>
      </w:r>
    </w:p>
    <w:p w14:paraId="168E7E5D" w14:textId="77777777" w:rsidR="00F932F1" w:rsidRPr="00F932F1" w:rsidRDefault="00F932F1" w:rsidP="00F932F1">
      <w:pPr>
        <w:spacing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Um es gleich vorwegzunehmen: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Die Antwort lautet: nein.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Nimmt man die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Gefahren-Klassifizierungen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und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gesundheitliche Richtwerte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 aus dem EU-Zulassungsverfahren als Maßstab für die Bewertung der Giftigkeit 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lastRenderedPageBreak/>
        <w:t>von Pestiziden – dann sind die synthetischen deutlich gefährlicher als die natürlichen.</w:t>
      </w:r>
    </w:p>
    <w:p w14:paraId="73928103" w14:textId="77777777" w:rsidR="00F932F1" w:rsidRPr="00F932F1" w:rsidRDefault="00F932F1" w:rsidP="00F932F1">
      <w:pPr>
        <w:spacing w:after="0" w:line="469" w:lineRule="atLeast"/>
        <w:outlineLvl w:val="2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de-DE"/>
        </w:rPr>
      </w:pPr>
      <w:r w:rsidRPr="00F932F1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de-DE"/>
        </w:rPr>
        <w:t>UNTERSCHIEDE BEI DEN GEFAHRENHINWEISEN</w:t>
      </w:r>
    </w:p>
    <w:p w14:paraId="566C3804" w14:textId="77777777" w:rsidR="00F932F1" w:rsidRPr="00F932F1" w:rsidRDefault="00F932F1" w:rsidP="00F932F1">
      <w:pPr>
        <w:spacing w:after="0" w:line="495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 </w:t>
      </w:r>
    </w:p>
    <w:p w14:paraId="7600D20E" w14:textId="26D81504" w:rsidR="00F932F1" w:rsidRPr="00F932F1" w:rsidRDefault="00F932F1" w:rsidP="00F932F1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object w:dxaOrig="1440" w:dyaOrig="1440" w14:anchorId="32689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6" o:title=""/>
          </v:shape>
          <w:control r:id="rId7" w:name="DefaultOcxName" w:shapeid="_x0000_i1030"/>
        </w:object>
      </w:r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Gefahren-Klassifizierung kurz erklärt</w:t>
      </w:r>
    </w:p>
    <w:p w14:paraId="788C150B" w14:textId="77777777" w:rsid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09044A54" w14:textId="716987CF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Stellt man die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Pestizide 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anhand ihrer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Gefahren-Klassifizierung 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gegenüber, so zeigen sich deutliche Unterschiede:</w:t>
      </w:r>
    </w:p>
    <w:p w14:paraId="04A41DE9" w14:textId="77777777" w:rsidR="00F932F1" w:rsidRPr="00F932F1" w:rsidRDefault="00F932F1" w:rsidP="00F932F1">
      <w:pPr>
        <w:numPr>
          <w:ilvl w:val="0"/>
          <w:numId w:val="5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55 % der meist synthetischen Pestizid-Wirkstoffe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, die in der konventionellen Landwirtschaft zugelassen sind,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tragen zwischen 1 und 9 Gefahrenhinweise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.</w:t>
      </w:r>
    </w:p>
    <w:p w14:paraId="271C1943" w14:textId="77777777" w:rsidR="00F932F1" w:rsidRPr="00F932F1" w:rsidRDefault="00F932F1" w:rsidP="00F932F1">
      <w:pPr>
        <w:numPr>
          <w:ilvl w:val="0"/>
          <w:numId w:val="5"/>
        </w:numPr>
        <w:spacing w:before="100" w:beforeAutospacing="1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3 % der natürlichen Pestizid-Wirkstoffe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, die auch in der biologischen Landwirtschaft erlaubt sind,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tragen zwischen 1 und 5 Gefahrenhinweise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.</w:t>
      </w:r>
    </w:p>
    <w:p w14:paraId="7C01D9DB" w14:textId="77777777" w:rsidR="00F932F1" w:rsidRPr="00F932F1" w:rsidRDefault="00F932F1" w:rsidP="00F932F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0"/>
          <w:szCs w:val="30"/>
          <w:lang w:eastAsia="de-DE"/>
        </w:rPr>
      </w:pPr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fldChar w:fldCharType="begin"/>
      </w:r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instrText xml:space="preserve"> HYPERLINK "https://www.global2000.at/sites/global/files/styles/media_standard_max/public/images/2023-02/pestizide-bio-vs-konventionell.png?itok=8kWcAmMC" </w:instrText>
      </w:r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fldChar w:fldCharType="separate"/>
      </w:r>
    </w:p>
    <w:p w14:paraId="6E0FA170" w14:textId="77777777" w:rsidR="00F932F1" w:rsidRPr="00F932F1" w:rsidRDefault="00F932F1" w:rsidP="00F9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32F1">
        <w:rPr>
          <w:rFonts w:ascii="Arial" w:eastAsia="Times New Roman" w:hAnsi="Arial" w:cs="Arial"/>
          <w:noProof/>
          <w:color w:val="0000FF"/>
          <w:sz w:val="30"/>
          <w:szCs w:val="30"/>
          <w:lang w:eastAsia="de-DE"/>
        </w:rPr>
        <w:drawing>
          <wp:inline distT="0" distB="0" distL="0" distR="0" wp14:anchorId="1E06F6E4" wp14:editId="253E6890">
            <wp:extent cx="6161405" cy="3982907"/>
            <wp:effectExtent l="0" t="0" r="0" b="0"/>
            <wp:docPr id="3" name="Bild 3" descr="Informationsgrafik Gefahrenhinweis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tionsgrafik Gefahrenhinweis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674" cy="401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2F1">
        <w:rPr>
          <w:rFonts w:ascii="Arial" w:eastAsia="Times New Roman" w:hAnsi="Arial" w:cs="Arial"/>
          <w:color w:val="0000FF"/>
          <w:sz w:val="23"/>
          <w:szCs w:val="23"/>
          <w:lang w:eastAsia="de-DE"/>
        </w:rPr>
        <w:t>GLOBAL 2000</w:t>
      </w:r>
    </w:p>
    <w:p w14:paraId="68B141B1" w14:textId="77777777" w:rsidR="00F932F1" w:rsidRPr="00F932F1" w:rsidRDefault="00F932F1" w:rsidP="00F932F1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lastRenderedPageBreak/>
        <w:fldChar w:fldCharType="end"/>
      </w:r>
    </w:p>
    <w:p w14:paraId="733214D0" w14:textId="77777777" w:rsidR="00F932F1" w:rsidRPr="00F932F1" w:rsidRDefault="00F932F1" w:rsidP="00F932F1">
      <w:pPr>
        <w:spacing w:line="240" w:lineRule="auto"/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  <w:proofErr w:type="spellStart"/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Abb</w:t>
      </w:r>
      <w:proofErr w:type="spellEnd"/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1: Gefahrenhinweise von </w:t>
      </w:r>
      <w:proofErr w:type="spellStart"/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ConvAS</w:t>
      </w:r>
      <w:proofErr w:type="spellEnd"/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(n=256) gegenüber </w:t>
      </w:r>
      <w:proofErr w:type="spellStart"/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OrgAS</w:t>
      </w:r>
      <w:proofErr w:type="spellEnd"/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(n=134)</w:t>
      </w:r>
    </w:p>
    <w:p w14:paraId="635576E2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Nach genauerer Untersuchung stellte sich heraus, dass sich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 in 16 % der in der konventionellen Landwirtschaft verwendeten Pestizide Warnhinweise über mögliche Schäden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 für das ungeborene Kind, den Verdacht auf </w:t>
      </w:r>
      <w:proofErr w:type="spellStart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Karzinogenität</w:t>
      </w:r>
      <w:proofErr w:type="spellEnd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oder akute tödliche Wirkungen finden, aber in keinem Pestizid mit Bio-Zulassung!</w:t>
      </w:r>
    </w:p>
    <w:p w14:paraId="60BE97BD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40 % der synthetischen Pestizid-Wirkstoffe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werden als sehr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giftig für Wasserorganismen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eingestuft, aber nur 1,5 % der natürlichen Pestizid-Wirkstoffe.</w:t>
      </w:r>
    </w:p>
    <w:p w14:paraId="0AD00D1F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Keine dieser Gefahren kann derzeit bei den natürlichen Pestizid-Wirkstoffen, die in der Bio-Landwirtschaft erlaubt sind, festgestellt werden.</w:t>
      </w:r>
    </w:p>
    <w:p w14:paraId="6A942178" w14:textId="77777777" w:rsidR="00F932F1" w:rsidRPr="00F932F1" w:rsidRDefault="00F932F1" w:rsidP="00F932F1">
      <w:pPr>
        <w:spacing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Mehr zu den Gefahren der Pestizide in der konventionellen Landwirtschaft finden Sie in unserem Faktencheck:</w:t>
      </w:r>
    </w:p>
    <w:p w14:paraId="4FD4F62C" w14:textId="77777777" w:rsidR="00F932F1" w:rsidRPr="00F932F1" w:rsidRDefault="00F932F1" w:rsidP="00F932F1">
      <w:pPr>
        <w:spacing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  <w:hyperlink r:id="rId10" w:tgtFrame="_blank" w:history="1">
        <w:r w:rsidRPr="00F932F1">
          <w:rPr>
            <w:rFonts w:ascii="Arial" w:eastAsia="Times New Roman" w:hAnsi="Arial" w:cs="Arial"/>
            <w:b/>
            <w:bCs/>
            <w:color w:val="FFFFFF"/>
            <w:sz w:val="27"/>
            <w:szCs w:val="27"/>
            <w:u w:val="single"/>
            <w:bdr w:val="none" w:sz="0" w:space="0" w:color="auto" w:frame="1"/>
            <w:lang w:eastAsia="de-DE"/>
          </w:rPr>
          <w:t>Jetzt Studie downloaden </w:t>
        </w:r>
      </w:hyperlink>
    </w:p>
    <w:p w14:paraId="37F4E04F" w14:textId="77777777" w:rsidR="00F932F1" w:rsidRPr="00F932F1" w:rsidRDefault="00F932F1" w:rsidP="00F932F1">
      <w:pPr>
        <w:spacing w:after="0" w:line="469" w:lineRule="atLeast"/>
        <w:outlineLvl w:val="2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de-DE"/>
        </w:rPr>
      </w:pPr>
      <w:r w:rsidRPr="00F932F1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de-DE"/>
        </w:rPr>
        <w:t>UNTERSCHIEDE BEI DEN GESUNDHEITLICHEN RICHTWERTEN</w:t>
      </w:r>
    </w:p>
    <w:p w14:paraId="484E06DF" w14:textId="77777777" w:rsidR="00F932F1" w:rsidRPr="00F932F1" w:rsidRDefault="00F932F1" w:rsidP="00F932F1">
      <w:pPr>
        <w:spacing w:after="0" w:line="495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 </w:t>
      </w:r>
    </w:p>
    <w:p w14:paraId="34D00F55" w14:textId="4DB73FEC" w:rsidR="00F932F1" w:rsidRPr="00F932F1" w:rsidRDefault="00F932F1" w:rsidP="00F932F1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object w:dxaOrig="1440" w:dyaOrig="1440" w14:anchorId="711885EB">
          <v:shape id="_x0000_i1029" type="#_x0000_t75" style="width:20.25pt;height:18pt" o:ole="">
            <v:imagedata r:id="rId6" o:title=""/>
          </v:shape>
          <w:control r:id="rId11" w:name="DefaultOcxName1" w:shapeid="_x0000_i1029"/>
        </w:object>
      </w:r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Gesundheitliche Richtwerte einfach erklärt</w:t>
      </w:r>
    </w:p>
    <w:p w14:paraId="331FF1E0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Unterschiede zwischen den Pestiziden zeigen sich auch, wenn man die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gesundheitsbezogenen Richtwerte 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als Maßstab heranzieht: In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93 % der meist synthetischen Pestizid-Wirkstoffe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, die in der konventionellen Landwirtschaft zugelassen sind, aber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nur in 7 % der natürlichen Pestizid-Wirkstoffe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, die auch in der biologischen Landwirtschaft erlaubt sind, wurde die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Festlegung gesundheitsbezogener Richtwerte von der Europäischen Behörde für Lebensmittelsicherheit (EFSA)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als relevant erachtet.</w:t>
      </w:r>
    </w:p>
    <w:p w14:paraId="6B8EDB97" w14:textId="77777777" w:rsidR="00F932F1" w:rsidRPr="00F932F1" w:rsidRDefault="00F932F1" w:rsidP="00F932F1">
      <w:pPr>
        <w:spacing w:after="480" w:line="469" w:lineRule="atLeast"/>
        <w:outlineLvl w:val="3"/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de-DE"/>
        </w:rPr>
      </w:pPr>
      <w:r w:rsidRPr="00F932F1"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de-DE"/>
        </w:rPr>
        <w:lastRenderedPageBreak/>
        <w:t>GESUNDHEITLICHE RICHTWERTE BEI BIOLOGISCHEN PESTIZIDEN</w:t>
      </w:r>
    </w:p>
    <w:p w14:paraId="628B190E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Die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biologischen Pestizide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wiesen die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niedrigsten akzeptablen Aufnahmewerte 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auf. Dazu zählten die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Insektizide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:</w:t>
      </w:r>
    </w:p>
    <w:p w14:paraId="0D4D08D4" w14:textId="77777777" w:rsidR="00F932F1" w:rsidRPr="00F932F1" w:rsidRDefault="00F932F1" w:rsidP="00F932F1">
      <w:pPr>
        <w:numPr>
          <w:ilvl w:val="0"/>
          <w:numId w:val="7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proofErr w:type="spellStart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Spinosad</w:t>
      </w:r>
      <w:proofErr w:type="spellEnd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,</w:t>
      </w:r>
    </w:p>
    <w:p w14:paraId="5F585F37" w14:textId="77777777" w:rsidR="00F932F1" w:rsidRPr="00F932F1" w:rsidRDefault="00F932F1" w:rsidP="00F932F1">
      <w:pPr>
        <w:numPr>
          <w:ilvl w:val="0"/>
          <w:numId w:val="7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proofErr w:type="spellStart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Pyrethrine</w:t>
      </w:r>
      <w:proofErr w:type="spellEnd"/>
    </w:p>
    <w:p w14:paraId="5C49B5A4" w14:textId="77777777" w:rsidR="00F932F1" w:rsidRPr="00F932F1" w:rsidRDefault="00F932F1" w:rsidP="00F932F1">
      <w:pPr>
        <w:numPr>
          <w:ilvl w:val="0"/>
          <w:numId w:val="7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proofErr w:type="spellStart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Azadirachtin</w:t>
      </w:r>
      <w:proofErr w:type="spellEnd"/>
    </w:p>
    <w:p w14:paraId="12CA4DAA" w14:textId="77777777" w:rsidR="00F932F1" w:rsidRPr="00F932F1" w:rsidRDefault="00F932F1" w:rsidP="00F932F1">
      <w:pPr>
        <w:spacing w:after="480" w:line="469" w:lineRule="atLeast"/>
        <w:outlineLvl w:val="3"/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de-DE"/>
        </w:rPr>
      </w:pPr>
      <w:r w:rsidRPr="00F932F1"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de-DE"/>
        </w:rPr>
        <w:t>GESUNDHEITLICHE RICHTWERTE BEI KONVENTIONELLEN PESTIZIDEN</w:t>
      </w:r>
    </w:p>
    <w:p w14:paraId="76123A9C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Die niedrigsten akzeptablen Aufnahmewerte bei den konventionellen Pestiziden lagen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zwei Größenordnungen niedriger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. Diese betrafen die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Herbizide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:</w:t>
      </w:r>
    </w:p>
    <w:p w14:paraId="345F7A4B" w14:textId="77777777" w:rsidR="00F932F1" w:rsidRPr="00F932F1" w:rsidRDefault="00F932F1" w:rsidP="00F932F1">
      <w:pPr>
        <w:numPr>
          <w:ilvl w:val="0"/>
          <w:numId w:val="8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proofErr w:type="spellStart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Tembotrion</w:t>
      </w:r>
      <w:proofErr w:type="spellEnd"/>
    </w:p>
    <w:p w14:paraId="4DE36065" w14:textId="77777777" w:rsidR="00F932F1" w:rsidRPr="00F932F1" w:rsidRDefault="00F932F1" w:rsidP="00F932F1">
      <w:pPr>
        <w:numPr>
          <w:ilvl w:val="0"/>
          <w:numId w:val="8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Sulcotrion</w:t>
      </w:r>
    </w:p>
    <w:p w14:paraId="26F5D1AB" w14:textId="77777777" w:rsidR="00F932F1" w:rsidRPr="00F932F1" w:rsidRDefault="00F932F1" w:rsidP="00F932F1">
      <w:pPr>
        <w:numPr>
          <w:ilvl w:val="0"/>
          <w:numId w:val="8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proofErr w:type="spellStart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Fluometuron</w:t>
      </w:r>
      <w:proofErr w:type="spellEnd"/>
    </w:p>
    <w:p w14:paraId="3F7951D5" w14:textId="77777777" w:rsidR="00F932F1" w:rsidRPr="00F932F1" w:rsidRDefault="00F932F1" w:rsidP="00F932F1">
      <w:pPr>
        <w:numPr>
          <w:ilvl w:val="0"/>
          <w:numId w:val="8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proofErr w:type="spellStart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Metam</w:t>
      </w:r>
      <w:proofErr w:type="spellEnd"/>
    </w:p>
    <w:p w14:paraId="2C452183" w14:textId="77777777" w:rsidR="00F932F1" w:rsidRPr="00F932F1" w:rsidRDefault="00F932F1" w:rsidP="00F932F1">
      <w:pPr>
        <w:numPr>
          <w:ilvl w:val="0"/>
          <w:numId w:val="8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proofErr w:type="spellStart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Diclofop</w:t>
      </w:r>
      <w:proofErr w:type="spellEnd"/>
    </w:p>
    <w:p w14:paraId="73235CDA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Die beiden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 xml:space="preserve"> Insektizide </w:t>
      </w:r>
      <w:proofErr w:type="spellStart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Emamectin</w:t>
      </w:r>
      <w:proofErr w:type="spellEnd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und </w:t>
      </w:r>
      <w:proofErr w:type="spellStart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Oxamyl</w:t>
      </w:r>
      <w:proofErr w:type="spellEnd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gehörten ebenso dazu.</w:t>
      </w:r>
    </w:p>
    <w:p w14:paraId="2EAE153A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Die Gegenüberstellung zeigt, dass den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 biologischen Pestiziden ein deutlich geringeres Risikopotenzial für die menschliche Gesundheit und die Umwelt 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zugeschrieben wird, als den konventionellen.</w:t>
      </w:r>
    </w:p>
    <w:p w14:paraId="677119A0" w14:textId="77777777" w:rsidR="00F932F1" w:rsidRPr="00F932F1" w:rsidRDefault="00F932F1" w:rsidP="00F932F1">
      <w:pPr>
        <w:spacing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Mehr zu den Unterschieden bei den gesundheitlichen Richtwerten der Pestizide finden Sie in unserem Faktencheck:</w:t>
      </w:r>
    </w:p>
    <w:p w14:paraId="78F0FADE" w14:textId="77777777" w:rsidR="00F932F1" w:rsidRPr="00F932F1" w:rsidRDefault="00F932F1" w:rsidP="00F932F1">
      <w:pPr>
        <w:spacing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  <w:hyperlink r:id="rId12" w:tgtFrame="_blank" w:history="1">
        <w:r w:rsidRPr="00F932F1">
          <w:rPr>
            <w:rFonts w:ascii="Arial" w:eastAsia="Times New Roman" w:hAnsi="Arial" w:cs="Arial"/>
            <w:b/>
            <w:bCs/>
            <w:color w:val="FFFFFF"/>
            <w:sz w:val="27"/>
            <w:szCs w:val="27"/>
            <w:u w:val="single"/>
            <w:bdr w:val="none" w:sz="0" w:space="0" w:color="auto" w:frame="1"/>
            <w:lang w:eastAsia="de-DE"/>
          </w:rPr>
          <w:t>Jetzt Studie downloaden </w:t>
        </w:r>
      </w:hyperlink>
    </w:p>
    <w:p w14:paraId="4FD51E7E" w14:textId="77777777" w:rsidR="00F932F1" w:rsidRPr="00F932F1" w:rsidRDefault="00F932F1" w:rsidP="00F932F1">
      <w:pPr>
        <w:spacing w:line="469" w:lineRule="atLeast"/>
        <w:outlineLvl w:val="2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de-DE"/>
        </w:rPr>
      </w:pPr>
      <w:r w:rsidRPr="00F932F1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de-DE"/>
        </w:rPr>
        <w:t>UNTERSCHIEDE IN DER HERKUNFT</w:t>
      </w:r>
    </w:p>
    <w:p w14:paraId="3DFFADC0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Eine Erklärung für den erheblichen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Unterschied in der Giftigkeit liegt in der Art und Herkunft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der jeweiligen Pestizid-Wirkstoffe.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Fast 90 % der 256 konventionellen Pestizide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bestehen aus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 synthetisch hergestellten Substanzen 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der Erdölchemie.</w:t>
      </w:r>
    </w:p>
    <w:p w14:paraId="14B980C2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Im Gegensatz dazu sind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alle 134 biologischen Pestizide natürliche oder natürlich gewonnene Stoffe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(wie in der EU-Öko-Verordnung (EU) 2018/848 gefordert).</w:t>
      </w:r>
    </w:p>
    <w:p w14:paraId="2B8D5C6F" w14:textId="77777777" w:rsidR="00F932F1" w:rsidRPr="00F932F1" w:rsidRDefault="00F932F1" w:rsidP="00F932F1">
      <w:pPr>
        <w:spacing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Nun wissen wir, dass "natürlich" nicht automatisch "ungiftig" bedeutet. Denken Sie zum Beispiel an die tödlichen Gifte einiger Pflanzen oder Schlangen. Schaut man sich aber die in der EU-Pestiziddatenbank gelisteten biologischen Pestizide an, stellt man schnell fest, dass deren überwiegende Mehrheit aus Substanzen besteht, die als ungiftig gelten können. So sind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75 nicht einmal "Stoffe" im eigentlichen Sinne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, sondern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lebende Mikroorganismen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(z.B.: Bakterien oder Pilze).</w:t>
      </w:r>
    </w:p>
    <w:p w14:paraId="691FCC83" w14:textId="77777777" w:rsidR="00F932F1" w:rsidRPr="00F932F1" w:rsidRDefault="00F932F1" w:rsidP="00F932F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0"/>
          <w:szCs w:val="30"/>
          <w:lang w:eastAsia="de-DE"/>
        </w:rPr>
      </w:pPr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fldChar w:fldCharType="begin"/>
      </w:r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instrText xml:space="preserve"> HYPERLINK "https://www.global2000.at/sites/global/files/styles/media_standard_max/public/images/2023-02/informationsgrafik_pestizide_herkunft_lang.png?itok=oMrAbuNG" </w:instrText>
      </w:r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fldChar w:fldCharType="separate"/>
      </w:r>
    </w:p>
    <w:p w14:paraId="03F5B4A8" w14:textId="77777777" w:rsidR="00F932F1" w:rsidRPr="00F932F1" w:rsidRDefault="00F932F1" w:rsidP="00F9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32F1">
        <w:rPr>
          <w:rFonts w:ascii="Arial" w:eastAsia="Times New Roman" w:hAnsi="Arial" w:cs="Arial"/>
          <w:noProof/>
          <w:color w:val="0000FF"/>
          <w:sz w:val="30"/>
          <w:szCs w:val="30"/>
          <w:lang w:eastAsia="de-DE"/>
        </w:rPr>
        <w:drawing>
          <wp:inline distT="0" distB="0" distL="0" distR="0" wp14:anchorId="32C35B84" wp14:editId="68D71F54">
            <wp:extent cx="6430676" cy="3362325"/>
            <wp:effectExtent l="0" t="0" r="8255" b="0"/>
            <wp:docPr id="4" name="Bild 4" descr="Informationsgrafik zum Ursprung der Pestizid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rmationsgrafik zum Ursprung der Pestizid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724" cy="337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2F1">
        <w:rPr>
          <w:rFonts w:ascii="Arial" w:eastAsia="Times New Roman" w:hAnsi="Arial" w:cs="Arial"/>
          <w:color w:val="0000FF"/>
          <w:sz w:val="23"/>
          <w:szCs w:val="23"/>
          <w:lang w:eastAsia="de-DE"/>
        </w:rPr>
        <w:t>GLOBAL 2000</w:t>
      </w:r>
    </w:p>
    <w:p w14:paraId="04203633" w14:textId="77777777" w:rsidR="00F932F1" w:rsidRPr="00F932F1" w:rsidRDefault="00F932F1" w:rsidP="00F932F1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fldChar w:fldCharType="end"/>
      </w:r>
    </w:p>
    <w:p w14:paraId="62CBF999" w14:textId="77777777" w:rsidR="00F932F1" w:rsidRPr="00F932F1" w:rsidRDefault="00F932F1" w:rsidP="00F932F1">
      <w:pPr>
        <w:spacing w:line="240" w:lineRule="auto"/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  <w:proofErr w:type="spellStart"/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lastRenderedPageBreak/>
        <w:t>Abb</w:t>
      </w:r>
      <w:proofErr w:type="spellEnd"/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2: Ursprung </w:t>
      </w:r>
      <w:proofErr w:type="spellStart"/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ConvAS</w:t>
      </w:r>
      <w:proofErr w:type="spellEnd"/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(n = 256) versus </w:t>
      </w:r>
      <w:proofErr w:type="spellStart"/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OrgAS</w:t>
      </w:r>
      <w:proofErr w:type="spellEnd"/>
      <w:r w:rsidRPr="00F932F1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(n = 134)</w:t>
      </w:r>
    </w:p>
    <w:p w14:paraId="46334FD4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Bei den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restlichen 59 biologischen Pestiziden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handelt es sich um eine sehr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heterogene Gruppe von "Stoffen"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. Dies betrifft sowohl ihre Herkunft als auch ihre Wirkungsweise. Davon sind:</w:t>
      </w:r>
    </w:p>
    <w:p w14:paraId="398A4B69" w14:textId="77777777" w:rsidR="00F932F1" w:rsidRPr="00F932F1" w:rsidRDefault="00F932F1" w:rsidP="00F932F1">
      <w:pPr>
        <w:numPr>
          <w:ilvl w:val="0"/>
          <w:numId w:val="9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46 % pflanzlichen Ursprungs (z.B.: ätherische Öle)</w:t>
      </w:r>
    </w:p>
    <w:p w14:paraId="097BDB5B" w14:textId="77777777" w:rsidR="00F932F1" w:rsidRPr="00F932F1" w:rsidRDefault="00F932F1" w:rsidP="00F932F1">
      <w:pPr>
        <w:numPr>
          <w:ilvl w:val="0"/>
          <w:numId w:val="9"/>
        </w:numPr>
        <w:spacing w:before="100" w:beforeAutospacing="1" w:after="188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29 % anorganischen Ursprungs.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Dazu gehören: Mineralien, Salze und elementare Stoffe auf Basis von Kupfer, Schwefel, Eisenphosphat, Natrium- und Kaliumhydrogencarbonat (auch als Backpulver bekannt) sowie gewöhnlicher Quarzsand.</w:t>
      </w:r>
    </w:p>
    <w:p w14:paraId="6F9AEE39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25 % 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setzen sich zusammen aus Stoffen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tierischen Ursprungs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(z. B. Schafsfett als Repellent),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Stoffen pflanzlichen und tierischen Ursprungs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(Fettsäuren für verschiedene Verwendungszwecke),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Stoffen mikrobiologischen Ursprungs 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(z. B. </w:t>
      </w:r>
      <w:proofErr w:type="spellStart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Cerevisane</w:t>
      </w:r>
      <w:proofErr w:type="spellEnd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aus Hefen zur Stimulierung des pflanzlichen Immunsystems),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Paraffinölen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(gegen saugende Insekten) und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Fermentationsprodukten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(z. B. Essig gegen Bakterien- und Pilzerkrankungen).</w:t>
      </w:r>
    </w:p>
    <w:p w14:paraId="25B1FB71" w14:textId="77777777" w:rsidR="00F932F1" w:rsidRPr="00F932F1" w:rsidRDefault="00F932F1" w:rsidP="00F932F1">
      <w:pPr>
        <w:spacing w:after="480" w:line="469" w:lineRule="atLeast"/>
        <w:outlineLvl w:val="3"/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de-DE"/>
        </w:rPr>
      </w:pPr>
      <w:r w:rsidRPr="00F932F1"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de-DE"/>
        </w:rPr>
        <w:t>GEFAHRENEINSTUFUNG NUR IN DREI FÄLLEN</w:t>
      </w:r>
    </w:p>
    <w:p w14:paraId="3807E5E8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Bei den verbleibenden 34 biologischen Pestiziden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hatten die Zulassungsbehörden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nur in 3 Fällen eine Gefahreneinstufung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als gerechtfertigt erachtet.</w:t>
      </w:r>
    </w:p>
    <w:p w14:paraId="220BD68A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 xml:space="preserve">Dieser signifikante Unterschied im Gefahrenprofil </w:t>
      </w:r>
      <w:proofErr w:type="gramStart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der biologischen und konventionellen Pestiziden</w:t>
      </w:r>
      <w:proofErr w:type="gramEnd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 xml:space="preserve"> hängt mit einer grundlegend anderen Wirkungsweise zusammen:</w:t>
      </w:r>
    </w:p>
    <w:p w14:paraId="3B323D22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Fast alle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synthetischen Pestizid-Wirkstoffe 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entfalten ihre Wirkung durch Beeinflussung biochemischer Prozesse in den jeweiligen Zielorganismen (z.B.: Schädlinge). Sie wirken als sogenannte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"Single-Site"-Inhibitoren von Enzymen oder Rezeptoren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. Diese sind für den Zellstoffwechsel und für die Kommunikation innerhalb der Zelle und zwischen verschiedenen 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lastRenderedPageBreak/>
        <w:t>Zellen wesentlich. Das große Problem daran ist, dass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 xml:space="preserve"> unerwünschte Nebenwirkungen in Nicht-Zielorganismen (z.B.: </w:t>
      </w:r>
      <w:proofErr w:type="gramStart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bei Nützlinge</w:t>
      </w:r>
      <w:proofErr w:type="gramEnd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) 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auftreten können.</w:t>
      </w:r>
    </w:p>
    <w:p w14:paraId="11600264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Unter den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biologischen Pestiziden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findet sich solch ein Wirkungsmodus nur bei den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Insektiziden „</w:t>
      </w:r>
      <w:proofErr w:type="spellStart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Azadirachtin</w:t>
      </w:r>
      <w:proofErr w:type="spellEnd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“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,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„</w:t>
      </w:r>
      <w:proofErr w:type="spellStart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Pyrethrinen</w:t>
      </w:r>
      <w:proofErr w:type="spellEnd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“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und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„</w:t>
      </w:r>
      <w:proofErr w:type="spellStart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Spinosad</w:t>
      </w:r>
      <w:proofErr w:type="spellEnd"/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“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. Das Insektizid „</w:t>
      </w:r>
      <w:proofErr w:type="spellStart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Azadirachtin</w:t>
      </w:r>
      <w:proofErr w:type="spellEnd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“ hemmt die hormonell induzierte Häutung von Insektenlarven. Die Insektizide „</w:t>
      </w:r>
      <w:proofErr w:type="spellStart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Pyrethrine</w:t>
      </w:r>
      <w:proofErr w:type="spellEnd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“ als auch „</w:t>
      </w:r>
      <w:proofErr w:type="spellStart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Spinosad</w:t>
      </w:r>
      <w:proofErr w:type="spellEnd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“ drosseln die Übertragung von Nervenimpulsen bei Insekten.</w:t>
      </w:r>
    </w:p>
    <w:p w14:paraId="2B488348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Die anderen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 biologischen Pestizide wirken auf andere Weise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, indem sie beispielsweise Schädlinge vertreiben oder die Abwehrkräfte der Pflanze stärken. Das ist auch der Hauptgrund dafür, dass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in der biologischen Landwirtschaft nur selten eine Resistenzentwicklung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beobachtet wird.</w:t>
      </w:r>
    </w:p>
    <w:p w14:paraId="17E1298A" w14:textId="77777777" w:rsidR="00F932F1" w:rsidRPr="00F932F1" w:rsidRDefault="00F932F1" w:rsidP="00F932F1">
      <w:pPr>
        <w:spacing w:after="480" w:line="469" w:lineRule="atLeast"/>
        <w:outlineLvl w:val="3"/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de-DE"/>
        </w:rPr>
      </w:pPr>
      <w:r w:rsidRPr="00F932F1"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de-DE"/>
        </w:rPr>
        <w:t>SO WIRKEN DIE BIOLOGISCHEN PESTIZIDE</w:t>
      </w:r>
    </w:p>
    <w:p w14:paraId="34035871" w14:textId="77777777" w:rsidR="00F932F1" w:rsidRPr="00F932F1" w:rsidRDefault="00F932F1" w:rsidP="00F932F1">
      <w:pPr>
        <w:spacing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Natürliche Pestizid-Wirkstoffe, wie Essig oder Seife, wirken auf physikalisch-chemische Weise, indem sie die Zellmembran schädigen. Backnatron (Kaliumhydrogencarbonat) oder Löschkalk (Kalziumhydroxid) verändern den pH-Wert und trocknen den Zielorganismus aus. Pflanzenöle bilden eine physische Barriere zwischen der Pflanze und den Schadinsekten.</w:t>
      </w:r>
    </w:p>
    <w:p w14:paraId="7F64C190" w14:textId="77777777" w:rsidR="00F932F1" w:rsidRPr="00F932F1" w:rsidRDefault="00F932F1" w:rsidP="00F932F1">
      <w:pPr>
        <w:spacing w:line="563" w:lineRule="atLeast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48"/>
          <w:szCs w:val="48"/>
          <w:lang w:eastAsia="de-DE"/>
        </w:rPr>
        <w:t>Einsatz von Pestiziden in der Bio-Landwirtschaft</w:t>
      </w:r>
    </w:p>
    <w:p w14:paraId="57629B56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Die unwahre Behauptung, biologische Pestizide seien vergleichbar giftig wie konventionelle, ist oft mit einer anderen Unterstellung verbunden: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Die Häufigkeit ihrer Verwendung in der Bio-Landwirtschaft sei mit jener von synthetischen Pestiziden in der konventionellen Landwirtschaft vergleichbar.</w:t>
      </w:r>
    </w:p>
    <w:p w14:paraId="7CEE0CFA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lastRenderedPageBreak/>
        <w:t>Der einfachste Weg, den Wahrheitsgehalt dieser Behauptung zu überprüfen, wäre ein Vergleich der Daten zum Pestizideinsatz. Doch leider ist dies nicht möglich. Denn obwohl die EU-Pestizidverordnung von den landwirtschaftlichen Betrieben verlangt, ihre Pestizidanwendungen detailliert und täglich zu dokumentieren, haben sich eine Gruppe von EU-Mitgliedstaaten sowie bis vor kurzem auch Bauernverbände erfolgreich gegen die Verwendung dieser Anwendungsdaten für statistische Zwecke gewehrt.</w:t>
      </w:r>
    </w:p>
    <w:p w14:paraId="5374D1BF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Im Juni 2022 einigten sich die EU-Mitgliedstaaten darauf, ab 2028 jährlich Daten zum Pestizideinsatz zu erheben und zu veröffentlichen. Doch bis dahin stehen nur die Verkaufsdaten zur Verfügung. Und genau auf diese Daten berufen sich die </w:t>
      </w:r>
      <w:proofErr w:type="spellStart"/>
      <w:proofErr w:type="gramStart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Kritiker:innen</w:t>
      </w:r>
      <w:proofErr w:type="spellEnd"/>
      <w:proofErr w:type="gramEnd"/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der Bio-Landwirtschaft, wenn sie ihr vorwerfen, einen vergleichbaren oder sogar höheren Pestizidverbrauch zu haben als die konventionelle Landwirtschaft.</w:t>
      </w:r>
    </w:p>
    <w:p w14:paraId="439F8133" w14:textId="77777777" w:rsidR="00F932F1" w:rsidRPr="00F932F1" w:rsidRDefault="00F932F1" w:rsidP="00F932F1">
      <w:pPr>
        <w:spacing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Grundlage solcher Behauptungen ist eine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 irreführende Interpretation der Pestizidverkaufsdaten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, die die EU-Mitgliedsstaaten jährlich veröffentlichen müssen.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In unserem </w:t>
      </w:r>
      <w:hyperlink r:id="rId15" w:history="1">
        <w:r w:rsidRPr="00F932F1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de-DE"/>
          </w:rPr>
          <w:t>Faktencheck</w:t>
        </w:r>
      </w:hyperlink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 haben wir für Sie ein konkretes Beispiel aus Österreich.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Damit kann die Behauptung, der Pestizideinsatz in der biologischen Landwirtschaft sei mit dem in der konventionellen Landwirtschaft vergleichbar, erfolgreich widerlegt werden.</w:t>
      </w:r>
    </w:p>
    <w:p w14:paraId="592C622F" w14:textId="77777777" w:rsidR="00F932F1" w:rsidRPr="00F932F1" w:rsidRDefault="00F932F1" w:rsidP="00F932F1">
      <w:pPr>
        <w:spacing w:line="563" w:lineRule="atLeast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de-DE"/>
        </w:rPr>
      </w:pPr>
      <w:r w:rsidRPr="00F932F1">
        <w:rPr>
          <w:rFonts w:ascii="Arial" w:eastAsia="Times New Roman" w:hAnsi="Arial" w:cs="Arial"/>
          <w:b/>
          <w:bCs/>
          <w:color w:val="000000"/>
          <w:sz w:val="48"/>
          <w:szCs w:val="48"/>
          <w:lang w:eastAsia="de-DE"/>
        </w:rPr>
        <w:t xml:space="preserve">Was können </w:t>
      </w:r>
      <w:proofErr w:type="spellStart"/>
      <w:proofErr w:type="gramStart"/>
      <w:r w:rsidRPr="00F932F1">
        <w:rPr>
          <w:rFonts w:ascii="Arial" w:eastAsia="Times New Roman" w:hAnsi="Arial" w:cs="Arial"/>
          <w:b/>
          <w:bCs/>
          <w:color w:val="000000"/>
          <w:sz w:val="48"/>
          <w:szCs w:val="48"/>
          <w:lang w:eastAsia="de-DE"/>
        </w:rPr>
        <w:t>Konsument:innen</w:t>
      </w:r>
      <w:proofErr w:type="spellEnd"/>
      <w:proofErr w:type="gramEnd"/>
      <w:r w:rsidRPr="00F932F1">
        <w:rPr>
          <w:rFonts w:ascii="Arial" w:eastAsia="Times New Roman" w:hAnsi="Arial" w:cs="Arial"/>
          <w:b/>
          <w:bCs/>
          <w:color w:val="000000"/>
          <w:sz w:val="48"/>
          <w:szCs w:val="48"/>
          <w:lang w:eastAsia="de-DE"/>
        </w:rPr>
        <w:t xml:space="preserve"> tun?</w:t>
      </w:r>
    </w:p>
    <w:p w14:paraId="16BF8B0E" w14:textId="77777777" w:rsidR="00F932F1" w:rsidRPr="00F932F1" w:rsidRDefault="00F932F1" w:rsidP="00F932F1">
      <w:pPr>
        <w:spacing w:after="480"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Dass die in der Bio-Landwirtschaft verwendeten natürlichen Pestizid-Wirkstoffe eine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ähnliche Giftigkeit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aufweisen, wie die in der konventionellen Landwirtschaft verwendeten synthetischen Pestizid-Wirkstoffe,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 bestätigen die Ergebnisse der Studie nicht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.</w:t>
      </w:r>
    </w:p>
    <w:p w14:paraId="460DBE71" w14:textId="1FD9D91F" w:rsidR="00824DF2" w:rsidRPr="00F932F1" w:rsidRDefault="00F932F1" w:rsidP="00F932F1">
      <w:pPr>
        <w:spacing w:line="405" w:lineRule="atLeast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Daher empfehlen wir beim Einkauf auf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saisonale und regionale Produkte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zu achten, denn diese sind in der Regel weniger mit Pestiziden belastet. Wirklich sicher sind aber nur 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Lebensmittel aus biologischer Landwirtschaft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, da hier gar</w:t>
      </w:r>
      <w:r w:rsidRPr="00F932F1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 keine synthetischen Pestizide</w:t>
      </w:r>
      <w:r w:rsidRPr="00F932F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eingesetzt werden dürfen.</w:t>
      </w:r>
    </w:p>
    <w:sectPr w:rsidR="00824DF2" w:rsidRPr="00F932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601"/>
    <w:multiLevelType w:val="multilevel"/>
    <w:tmpl w:val="0F4E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049A9"/>
    <w:multiLevelType w:val="multilevel"/>
    <w:tmpl w:val="5EF6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C072C"/>
    <w:multiLevelType w:val="multilevel"/>
    <w:tmpl w:val="BC0A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A09ED"/>
    <w:multiLevelType w:val="multilevel"/>
    <w:tmpl w:val="12B8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471DB"/>
    <w:multiLevelType w:val="multilevel"/>
    <w:tmpl w:val="68D2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42AA9"/>
    <w:multiLevelType w:val="multilevel"/>
    <w:tmpl w:val="8E3A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63248"/>
    <w:multiLevelType w:val="multilevel"/>
    <w:tmpl w:val="66A0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660C5"/>
    <w:multiLevelType w:val="multilevel"/>
    <w:tmpl w:val="67AE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E32867"/>
    <w:multiLevelType w:val="multilevel"/>
    <w:tmpl w:val="40A8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721545">
    <w:abstractNumId w:val="0"/>
  </w:num>
  <w:num w:numId="2" w16cid:durableId="367727213">
    <w:abstractNumId w:val="2"/>
  </w:num>
  <w:num w:numId="3" w16cid:durableId="497886837">
    <w:abstractNumId w:val="6"/>
  </w:num>
  <w:num w:numId="4" w16cid:durableId="412702512">
    <w:abstractNumId w:val="4"/>
  </w:num>
  <w:num w:numId="5" w16cid:durableId="489636921">
    <w:abstractNumId w:val="7"/>
  </w:num>
  <w:num w:numId="6" w16cid:durableId="6449242">
    <w:abstractNumId w:val="5"/>
  </w:num>
  <w:num w:numId="7" w16cid:durableId="269702416">
    <w:abstractNumId w:val="3"/>
  </w:num>
  <w:num w:numId="8" w16cid:durableId="305361651">
    <w:abstractNumId w:val="8"/>
  </w:num>
  <w:num w:numId="9" w16cid:durableId="627972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F1"/>
    <w:rsid w:val="00824DF2"/>
    <w:rsid w:val="00F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6FFC"/>
  <w15:chartTrackingRefBased/>
  <w15:docId w15:val="{30663A28-E603-4EAE-9602-6605B91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621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0655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75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0209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09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225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2975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83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3037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1533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445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78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4056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747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7949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8632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68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91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1490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02002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7957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002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870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92758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959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5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7245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9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86750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8943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9315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79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2000.at/sites/global/files/styles/media_standard_max/public/images/2023-02/pestizide-bio-vs-konventionell.png?itok=8kWcAmMC" TargetMode="External"/><Relationship Id="rId13" Type="http://schemas.openxmlformats.org/officeDocument/2006/relationships/hyperlink" Target="https://www.global2000.at/sites/global/files/styles/media_standard_max/public/images/2023-02/informationsgrafik_pestizide_herkunft_lang.png?itok=oMrAbuNG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https://www.global2000.at/sites/global/files/global2000_boku_studie_biologische-pestizide_und_konventionelle-pestizide_im_vergleich_2023022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2.xml"/><Relationship Id="rId5" Type="http://schemas.openxmlformats.org/officeDocument/2006/relationships/hyperlink" Target="https://www.global2000.at/sites/global/files/global2000_boku_studie_biologische-pestizide_und_konventionelle-pestizide_im_vergleich_20230223.pdf" TargetMode="External"/><Relationship Id="rId15" Type="http://schemas.openxmlformats.org/officeDocument/2006/relationships/hyperlink" Target="https://www.global2000.at/sites/global/files/230223_Faktencheck_Pestizide-in-konventioneller-und-biologischer-Landwirtschaft.pdf" TargetMode="External"/><Relationship Id="rId10" Type="http://schemas.openxmlformats.org/officeDocument/2006/relationships/hyperlink" Target="https://www.global2000.at/sites/global/files/global2000_boku_studie_biologische-pestizide_und_konventionelle-pestizide_im_vergleich_2023022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1639</Words>
  <Characters>10329</Characters>
  <Application>Microsoft Office Word</Application>
  <DocSecurity>0</DocSecurity>
  <Lines>86</Lines>
  <Paragraphs>23</Paragraphs>
  <ScaleCrop>false</ScaleCrop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Loimer</dc:creator>
  <cp:keywords/>
  <dc:description/>
  <cp:lastModifiedBy>Loimer</cp:lastModifiedBy>
  <cp:revision>1</cp:revision>
  <dcterms:created xsi:type="dcterms:W3CDTF">2023-03-09T07:45:00Z</dcterms:created>
  <dcterms:modified xsi:type="dcterms:W3CDTF">2023-03-09T07:50:00Z</dcterms:modified>
</cp:coreProperties>
</file>